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51F1" w14:textId="77777777" w:rsidR="00940150" w:rsidRDefault="00940150" w:rsidP="00940150">
      <w:pPr>
        <w:pStyle w:val="31"/>
        <w:shd w:val="clear" w:color="auto" w:fill="auto"/>
        <w:jc w:val="right"/>
        <w:rPr>
          <w:sz w:val="16"/>
        </w:rPr>
      </w:pPr>
      <w:r>
        <w:rPr>
          <w:sz w:val="16"/>
        </w:rPr>
        <w:t>Приложение 4</w:t>
      </w:r>
    </w:p>
    <w:p w14:paraId="76AC7193" w14:textId="77777777" w:rsidR="00940150" w:rsidRDefault="00940150" w:rsidP="00940150">
      <w:pPr>
        <w:pStyle w:val="31"/>
        <w:shd w:val="clear" w:color="auto" w:fill="auto"/>
        <w:jc w:val="right"/>
        <w:rPr>
          <w:sz w:val="16"/>
        </w:rPr>
      </w:pPr>
      <w:r>
        <w:rPr>
          <w:sz w:val="16"/>
        </w:rPr>
        <w:t>К Условиям осуществления деятельности по</w:t>
      </w:r>
    </w:p>
    <w:p w14:paraId="508E0B3D" w14:textId="77777777" w:rsidR="00940150" w:rsidRDefault="00940150" w:rsidP="00940150">
      <w:pPr>
        <w:pStyle w:val="31"/>
        <w:shd w:val="clear" w:color="auto" w:fill="auto"/>
        <w:jc w:val="right"/>
        <w:rPr>
          <w:sz w:val="16"/>
        </w:rPr>
      </w:pPr>
      <w:r>
        <w:rPr>
          <w:sz w:val="16"/>
        </w:rPr>
        <w:t>доверительному управлению</w:t>
      </w:r>
    </w:p>
    <w:p w14:paraId="7452004B" w14:textId="77777777" w:rsidR="00940150" w:rsidRDefault="00940150" w:rsidP="00940150">
      <w:pPr>
        <w:pStyle w:val="2"/>
        <w:shd w:val="clear" w:color="auto" w:fill="auto"/>
        <w:spacing w:after="0" w:line="240" w:lineRule="exact"/>
        <w:rPr>
          <w:b/>
          <w:sz w:val="18"/>
        </w:rPr>
      </w:pPr>
      <w:bookmarkStart w:id="0" w:name="bookmark67"/>
    </w:p>
    <w:p w14:paraId="08E234FC" w14:textId="77777777" w:rsidR="00940150" w:rsidRDefault="00940150" w:rsidP="00940150">
      <w:pPr>
        <w:pStyle w:val="2"/>
        <w:shd w:val="clear" w:color="auto" w:fill="auto"/>
        <w:spacing w:after="0" w:line="240" w:lineRule="exact"/>
        <w:rPr>
          <w:b/>
          <w:sz w:val="18"/>
        </w:rPr>
      </w:pPr>
      <w:r>
        <w:rPr>
          <w:b/>
          <w:sz w:val="18"/>
        </w:rPr>
        <w:t>ПОЛИТИКА ОСУЩЕСТВЛЕНИЯ ПРАВ</w:t>
      </w:r>
      <w:bookmarkEnd w:id="0"/>
    </w:p>
    <w:p w14:paraId="69176536" w14:textId="77777777" w:rsidR="00940150" w:rsidRDefault="00940150" w:rsidP="00940150">
      <w:pPr>
        <w:pStyle w:val="2"/>
        <w:shd w:val="clear" w:color="auto" w:fill="auto"/>
        <w:spacing w:after="0" w:line="240" w:lineRule="auto"/>
        <w:rPr>
          <w:b/>
          <w:sz w:val="18"/>
        </w:rPr>
      </w:pPr>
      <w:bookmarkStart w:id="1" w:name="bookmark68"/>
      <w:r>
        <w:rPr>
          <w:b/>
          <w:sz w:val="18"/>
        </w:rPr>
        <w:t>ПО ЦЕННЫМ БУМАГАМ ДОВЕРИТЕЛЬНЫМ УПРАВЛЯЮЩИМ</w:t>
      </w:r>
      <w:bookmarkEnd w:id="1"/>
    </w:p>
    <w:p w14:paraId="4192B543" w14:textId="77777777" w:rsidR="00940150" w:rsidRDefault="00940150" w:rsidP="00940150">
      <w:pPr>
        <w:pStyle w:val="21"/>
        <w:shd w:val="clear" w:color="auto" w:fill="auto"/>
        <w:spacing w:before="0" w:after="0" w:line="240" w:lineRule="auto"/>
        <w:ind w:firstLine="0"/>
        <w:jc w:val="both"/>
        <w:rPr>
          <w:sz w:val="18"/>
        </w:rPr>
      </w:pPr>
    </w:p>
    <w:p w14:paraId="3440B3B7" w14:textId="77777777" w:rsidR="00940150" w:rsidRDefault="00940150" w:rsidP="00940150">
      <w:pPr>
        <w:pStyle w:val="3"/>
        <w:numPr>
          <w:ilvl w:val="0"/>
          <w:numId w:val="2"/>
        </w:numPr>
        <w:shd w:val="clear" w:color="auto" w:fill="auto"/>
        <w:tabs>
          <w:tab w:val="left" w:pos="289"/>
        </w:tabs>
        <w:spacing w:before="0" w:after="0" w:line="240" w:lineRule="auto"/>
        <w:rPr>
          <w:sz w:val="18"/>
        </w:rPr>
      </w:pPr>
      <w:bookmarkStart w:id="2" w:name="bookmark69"/>
      <w:r>
        <w:rPr>
          <w:sz w:val="18"/>
        </w:rPr>
        <w:t>Общие положения</w:t>
      </w:r>
      <w:bookmarkEnd w:id="2"/>
    </w:p>
    <w:p w14:paraId="313B4E4B" w14:textId="77777777" w:rsidR="00940150" w:rsidRDefault="00940150" w:rsidP="00940150">
      <w:pPr>
        <w:pStyle w:val="3"/>
        <w:shd w:val="clear" w:color="auto" w:fill="auto"/>
        <w:tabs>
          <w:tab w:val="left" w:pos="289"/>
        </w:tabs>
        <w:spacing w:before="0" w:after="0" w:line="240" w:lineRule="auto"/>
        <w:rPr>
          <w:sz w:val="18"/>
        </w:rPr>
      </w:pPr>
    </w:p>
    <w:p w14:paraId="4B3772C8" w14:textId="77777777" w:rsidR="00940150" w:rsidRDefault="00940150" w:rsidP="00940150">
      <w:pPr>
        <w:pStyle w:val="21"/>
        <w:numPr>
          <w:ilvl w:val="1"/>
          <w:numId w:val="2"/>
        </w:numPr>
        <w:shd w:val="clear" w:color="auto" w:fill="auto"/>
        <w:tabs>
          <w:tab w:val="left" w:pos="490"/>
        </w:tabs>
        <w:spacing w:before="0" w:after="0" w:line="240" w:lineRule="auto"/>
        <w:ind w:firstLine="0"/>
        <w:jc w:val="both"/>
        <w:rPr>
          <w:sz w:val="18"/>
        </w:rPr>
      </w:pPr>
      <w:r>
        <w:rPr>
          <w:sz w:val="18"/>
        </w:rPr>
        <w:t>Настоящие Политика осуществления прав по Ценным бумагам Доверительным управляющим (далее - Политика)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актами Российской Федерации, стандартами.</w:t>
      </w:r>
    </w:p>
    <w:p w14:paraId="293B2CD6" w14:textId="77777777" w:rsidR="00940150" w:rsidRDefault="00940150" w:rsidP="00940150">
      <w:pPr>
        <w:pStyle w:val="21"/>
        <w:shd w:val="clear" w:color="auto" w:fill="auto"/>
        <w:tabs>
          <w:tab w:val="left" w:pos="490"/>
        </w:tabs>
        <w:spacing w:before="0" w:after="0" w:line="240" w:lineRule="auto"/>
        <w:ind w:firstLine="0"/>
        <w:jc w:val="both"/>
        <w:rPr>
          <w:sz w:val="18"/>
        </w:rPr>
      </w:pPr>
    </w:p>
    <w:p w14:paraId="5E33E0D6" w14:textId="77777777" w:rsidR="00940150" w:rsidRDefault="00940150" w:rsidP="00940150">
      <w:pPr>
        <w:pStyle w:val="21"/>
        <w:numPr>
          <w:ilvl w:val="1"/>
          <w:numId w:val="2"/>
        </w:numPr>
        <w:shd w:val="clear" w:color="auto" w:fill="auto"/>
        <w:tabs>
          <w:tab w:val="left" w:pos="490"/>
        </w:tabs>
        <w:spacing w:before="0" w:after="0" w:line="240" w:lineRule="auto"/>
        <w:ind w:firstLine="0"/>
        <w:jc w:val="both"/>
        <w:rPr>
          <w:sz w:val="18"/>
        </w:rPr>
      </w:pPr>
      <w:r>
        <w:rPr>
          <w:sz w:val="18"/>
        </w:rPr>
        <w:t>Политика разработана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07455C72" w14:textId="77777777" w:rsidR="00940150" w:rsidRDefault="00940150" w:rsidP="00940150">
      <w:pPr>
        <w:pStyle w:val="21"/>
        <w:shd w:val="clear" w:color="auto" w:fill="auto"/>
        <w:tabs>
          <w:tab w:val="left" w:pos="490"/>
        </w:tabs>
        <w:spacing w:before="0" w:after="0" w:line="240" w:lineRule="auto"/>
        <w:ind w:firstLine="0"/>
        <w:jc w:val="both"/>
        <w:rPr>
          <w:sz w:val="18"/>
        </w:rPr>
      </w:pPr>
    </w:p>
    <w:p w14:paraId="0AF827B5" w14:textId="77777777" w:rsidR="00940150" w:rsidRDefault="00940150" w:rsidP="00940150">
      <w:pPr>
        <w:pStyle w:val="21"/>
        <w:numPr>
          <w:ilvl w:val="1"/>
          <w:numId w:val="2"/>
        </w:numPr>
        <w:shd w:val="clear" w:color="auto" w:fill="auto"/>
        <w:tabs>
          <w:tab w:val="left" w:pos="488"/>
        </w:tabs>
        <w:spacing w:before="0"/>
        <w:ind w:firstLine="0"/>
        <w:jc w:val="both"/>
        <w:rPr>
          <w:sz w:val="18"/>
        </w:rPr>
      </w:pPr>
      <w:r>
        <w:rPr>
          <w:sz w:val="18"/>
        </w:rPr>
        <w:t>Настоящая Политика применяется Доверительным управляющим в отношении Инвестиционных портфелей, при управлении которыми применяются настоящие Условия.</w:t>
      </w:r>
    </w:p>
    <w:p w14:paraId="6D17F742" w14:textId="77777777" w:rsidR="00940150" w:rsidRDefault="00940150" w:rsidP="00940150">
      <w:pPr>
        <w:pStyle w:val="21"/>
        <w:numPr>
          <w:ilvl w:val="1"/>
          <w:numId w:val="2"/>
        </w:numPr>
        <w:shd w:val="clear" w:color="auto" w:fill="auto"/>
        <w:tabs>
          <w:tab w:val="left" w:pos="488"/>
        </w:tabs>
        <w:spacing w:before="0" w:after="0"/>
        <w:ind w:firstLine="0"/>
        <w:jc w:val="both"/>
        <w:rPr>
          <w:sz w:val="18"/>
        </w:rPr>
      </w:pPr>
      <w:r>
        <w:rPr>
          <w:sz w:val="18"/>
        </w:rPr>
        <w:t>Доверительный управляющий осуществляет права по Ценным бумагам в соответствии с настоящей Политикой, если иное не предусмотрено настоящими Условиями.</w:t>
      </w:r>
    </w:p>
    <w:p w14:paraId="4B759B22" w14:textId="77777777" w:rsidR="00940150" w:rsidRDefault="00940150" w:rsidP="00940150">
      <w:pPr>
        <w:pStyle w:val="21"/>
        <w:shd w:val="clear" w:color="auto" w:fill="auto"/>
        <w:spacing w:before="0" w:after="0" w:line="240" w:lineRule="auto"/>
        <w:ind w:firstLine="0"/>
        <w:jc w:val="both"/>
        <w:rPr>
          <w:sz w:val="18"/>
        </w:rPr>
      </w:pPr>
    </w:p>
    <w:p w14:paraId="79CD4070" w14:textId="77777777" w:rsidR="00940150" w:rsidRDefault="00940150" w:rsidP="00940150">
      <w:pPr>
        <w:pStyle w:val="3"/>
        <w:numPr>
          <w:ilvl w:val="0"/>
          <w:numId w:val="2"/>
        </w:numPr>
        <w:shd w:val="clear" w:color="auto" w:fill="auto"/>
        <w:tabs>
          <w:tab w:val="left" w:pos="289"/>
        </w:tabs>
        <w:spacing w:before="0" w:after="92" w:line="170" w:lineRule="exact"/>
        <w:rPr>
          <w:sz w:val="18"/>
        </w:rPr>
      </w:pPr>
      <w:bookmarkStart w:id="3" w:name="bookmark70"/>
      <w:r>
        <w:rPr>
          <w:sz w:val="18"/>
        </w:rPr>
        <w:t>Основные принципы</w:t>
      </w:r>
      <w:bookmarkEnd w:id="3"/>
    </w:p>
    <w:p w14:paraId="522E07C4" w14:textId="77777777" w:rsidR="00940150" w:rsidRDefault="00940150" w:rsidP="00940150">
      <w:pPr>
        <w:pStyle w:val="21"/>
        <w:numPr>
          <w:ilvl w:val="1"/>
          <w:numId w:val="2"/>
        </w:numPr>
        <w:shd w:val="clear" w:color="auto" w:fill="auto"/>
        <w:tabs>
          <w:tab w:val="left" w:pos="488"/>
        </w:tabs>
        <w:spacing w:before="0" w:line="235" w:lineRule="exact"/>
        <w:ind w:firstLine="0"/>
        <w:jc w:val="both"/>
        <w:rPr>
          <w:sz w:val="18"/>
        </w:rPr>
      </w:pPr>
      <w:r>
        <w:rPr>
          <w:sz w:val="18"/>
        </w:rPr>
        <w:t>Если в соответствии с настоящими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4AECC671" w14:textId="77777777" w:rsidR="00940150" w:rsidRDefault="00940150" w:rsidP="00940150">
      <w:pPr>
        <w:pStyle w:val="21"/>
        <w:numPr>
          <w:ilvl w:val="1"/>
          <w:numId w:val="2"/>
        </w:numPr>
        <w:shd w:val="clear" w:color="auto" w:fill="auto"/>
        <w:tabs>
          <w:tab w:val="left" w:pos="488"/>
        </w:tabs>
        <w:spacing w:before="0" w:after="176" w:line="235" w:lineRule="exact"/>
        <w:ind w:firstLine="0"/>
        <w:jc w:val="both"/>
        <w:rPr>
          <w:sz w:val="18"/>
        </w:rPr>
      </w:pPr>
      <w:r>
        <w:rPr>
          <w:sz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7885A787" w14:textId="77777777" w:rsidR="00940150" w:rsidRDefault="00940150" w:rsidP="00940150">
      <w:pPr>
        <w:pStyle w:val="21"/>
        <w:numPr>
          <w:ilvl w:val="2"/>
          <w:numId w:val="2"/>
        </w:numPr>
        <w:shd w:val="clear" w:color="auto" w:fill="auto"/>
        <w:tabs>
          <w:tab w:val="left" w:pos="712"/>
        </w:tabs>
        <w:spacing w:before="0" w:after="184" w:line="240" w:lineRule="exact"/>
        <w:ind w:firstLine="0"/>
        <w:jc w:val="both"/>
        <w:rPr>
          <w:sz w:val="18"/>
        </w:rPr>
      </w:pPr>
      <w:r>
        <w:rPr>
          <w:sz w:val="18"/>
        </w:rPr>
        <w:t>Инвестирование является портфельным инвестированием и не ставит своей целью получение контроля над компаниями.</w:t>
      </w:r>
    </w:p>
    <w:p w14:paraId="3A78D503" w14:textId="77777777" w:rsidR="00940150" w:rsidRDefault="00940150" w:rsidP="00940150">
      <w:pPr>
        <w:pStyle w:val="21"/>
        <w:numPr>
          <w:ilvl w:val="2"/>
          <w:numId w:val="2"/>
        </w:numPr>
        <w:shd w:val="clear" w:color="auto" w:fill="auto"/>
        <w:tabs>
          <w:tab w:val="left" w:pos="712"/>
        </w:tabs>
        <w:spacing w:before="0" w:line="235" w:lineRule="exact"/>
        <w:ind w:firstLine="0"/>
        <w:jc w:val="both"/>
        <w:rPr>
          <w:sz w:val="18"/>
        </w:rPr>
      </w:pPr>
      <w:r>
        <w:rPr>
          <w:sz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4890AE61" w14:textId="77777777" w:rsidR="00940150" w:rsidRDefault="00940150" w:rsidP="00940150">
      <w:pPr>
        <w:pStyle w:val="21"/>
        <w:numPr>
          <w:ilvl w:val="2"/>
          <w:numId w:val="2"/>
        </w:numPr>
        <w:shd w:val="clear" w:color="auto" w:fill="auto"/>
        <w:tabs>
          <w:tab w:val="left" w:pos="712"/>
        </w:tabs>
        <w:spacing w:before="0" w:line="235" w:lineRule="exact"/>
        <w:ind w:firstLine="0"/>
        <w:jc w:val="both"/>
        <w:rPr>
          <w:sz w:val="18"/>
        </w:rPr>
      </w:pPr>
      <w:r>
        <w:rPr>
          <w:sz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717E945B" w14:textId="77777777" w:rsidR="00940150" w:rsidRDefault="00940150" w:rsidP="00940150">
      <w:pPr>
        <w:pStyle w:val="21"/>
        <w:numPr>
          <w:ilvl w:val="1"/>
          <w:numId w:val="2"/>
        </w:numPr>
        <w:shd w:val="clear" w:color="auto" w:fill="auto"/>
        <w:tabs>
          <w:tab w:val="left" w:pos="668"/>
        </w:tabs>
        <w:spacing w:before="0" w:after="0" w:line="235" w:lineRule="exact"/>
        <w:ind w:firstLine="0"/>
        <w:jc w:val="both"/>
        <w:rPr>
          <w:sz w:val="18"/>
        </w:rPr>
      </w:pPr>
      <w:r>
        <w:rPr>
          <w:sz w:val="18"/>
        </w:rPr>
        <w:t>Участие в общих собраниях акционеров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 при голосовании по вопросам:</w:t>
      </w:r>
    </w:p>
    <w:p w14:paraId="200E4E16"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реорганизации;</w:t>
      </w:r>
    </w:p>
    <w:p w14:paraId="5FD6728A"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ликвидации;</w:t>
      </w:r>
    </w:p>
    <w:p w14:paraId="40F4FC16"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об определении количества, номинальной стоимости, категории (типа) объявленных акций и прав, предоставляемых этими акциями;</w:t>
      </w:r>
    </w:p>
    <w:p w14:paraId="1177BDAC"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об увеличении уставного капитала акционерного общества;</w:t>
      </w:r>
    </w:p>
    <w:p w14:paraId="39B4359E"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об уменьшении уставного капитала акционерного общества;</w:t>
      </w:r>
    </w:p>
    <w:p w14:paraId="5179C8D6"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размещении облигаций и иных эмиссионных ценных бумаг (кроме акций);</w:t>
      </w:r>
    </w:p>
    <w:p w14:paraId="481A9CCC"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выплате дивидендов;</w:t>
      </w:r>
    </w:p>
    <w:p w14:paraId="3FFE1CE5"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дроблении акций;</w:t>
      </w:r>
    </w:p>
    <w:p w14:paraId="12A74E6B"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 консолидации акций;</w:t>
      </w:r>
    </w:p>
    <w:p w14:paraId="37780E74" w14:textId="77777777" w:rsidR="00940150" w:rsidRDefault="00940150" w:rsidP="00940150">
      <w:pPr>
        <w:pStyle w:val="33"/>
        <w:numPr>
          <w:ilvl w:val="0"/>
          <w:numId w:val="1"/>
        </w:numPr>
        <w:shd w:val="clear" w:color="auto" w:fill="auto"/>
        <w:tabs>
          <w:tab w:val="left" w:pos="240"/>
        </w:tabs>
        <w:spacing w:line="235" w:lineRule="exact"/>
        <w:rPr>
          <w:sz w:val="18"/>
        </w:rPr>
      </w:pPr>
      <w:r>
        <w:rPr>
          <w:sz w:val="18"/>
        </w:rPr>
        <w:t>об определении размера вознаграждений и компенсаций членам совета директоров (наблюдательного совета);</w:t>
      </w:r>
    </w:p>
    <w:p w14:paraId="13CF38BB" w14:textId="77777777" w:rsidR="00940150" w:rsidRDefault="00940150" w:rsidP="00940150">
      <w:pPr>
        <w:pStyle w:val="21"/>
        <w:numPr>
          <w:ilvl w:val="0"/>
          <w:numId w:val="1"/>
        </w:numPr>
        <w:shd w:val="clear" w:color="auto" w:fill="auto"/>
        <w:spacing w:before="0" w:after="0" w:line="235" w:lineRule="exact"/>
        <w:ind w:right="460"/>
        <w:jc w:val="both"/>
        <w:rPr>
          <w:sz w:val="18"/>
        </w:rPr>
      </w:pPr>
      <w:r>
        <w:rPr>
          <w:sz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0FC02771" w14:textId="77777777" w:rsidR="00940150" w:rsidRDefault="00940150" w:rsidP="00940150">
      <w:pPr>
        <w:pStyle w:val="21"/>
        <w:numPr>
          <w:ilvl w:val="0"/>
          <w:numId w:val="1"/>
        </w:numPr>
        <w:shd w:val="clear" w:color="auto" w:fill="auto"/>
        <w:spacing w:before="0" w:after="176" w:line="235" w:lineRule="exact"/>
        <w:jc w:val="both"/>
        <w:rPr>
          <w:sz w:val="18"/>
        </w:rPr>
      </w:pPr>
      <w:r>
        <w:rPr>
          <w:sz w:val="18"/>
        </w:rPr>
        <w:t xml:space="preserve">о внесении в устав или иные внутренние документы, регулирующие деятельность органов </w:t>
      </w:r>
      <w:r>
        <w:rPr>
          <w:sz w:val="18"/>
        </w:rPr>
        <w:lastRenderedPageBreak/>
        <w:t>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59B5D4CB" w14:textId="77777777" w:rsidR="00940150" w:rsidRDefault="00940150" w:rsidP="00940150">
      <w:pPr>
        <w:pStyle w:val="21"/>
        <w:numPr>
          <w:ilvl w:val="1"/>
          <w:numId w:val="2"/>
        </w:numPr>
        <w:shd w:val="clear" w:color="auto" w:fill="auto"/>
        <w:tabs>
          <w:tab w:val="left" w:pos="488"/>
        </w:tabs>
        <w:spacing w:before="0" w:line="235" w:lineRule="exact"/>
        <w:ind w:firstLine="0"/>
        <w:jc w:val="both"/>
        <w:rPr>
          <w:sz w:val="18"/>
        </w:rPr>
      </w:pPr>
      <w:r>
        <w:rPr>
          <w:sz w:val="18"/>
        </w:rPr>
        <w:t>В случае принятия решения об участии в голосовании на ОСА Доверительный управляющий осуществляет право голоса, руководствуясь следующими принципами:</w:t>
      </w:r>
    </w:p>
    <w:p w14:paraId="2FB1592C" w14:textId="77777777" w:rsidR="00940150" w:rsidRDefault="00940150" w:rsidP="00940150">
      <w:pPr>
        <w:pStyle w:val="21"/>
        <w:numPr>
          <w:ilvl w:val="2"/>
          <w:numId w:val="2"/>
        </w:numPr>
        <w:shd w:val="clear" w:color="auto" w:fill="auto"/>
        <w:spacing w:before="0" w:line="235" w:lineRule="exact"/>
        <w:ind w:firstLine="0"/>
        <w:jc w:val="both"/>
        <w:rPr>
          <w:sz w:val="18"/>
        </w:rPr>
      </w:pPr>
      <w:r>
        <w:rPr>
          <w:sz w:val="18"/>
        </w:rPr>
        <w:t xml:space="preserve">Доверительный управляющий действует в строгом соответствии с требованиями Гражданского Кодекса Российской Федерации, Федерального закона </w:t>
      </w:r>
      <w:r>
        <w:rPr>
          <w:color w:val="000000"/>
          <w:sz w:val="18"/>
        </w:rPr>
        <w:t xml:space="preserve">№ 208-ФЗ от 26.12.1995 г. </w:t>
      </w:r>
      <w:r>
        <w:rPr>
          <w:sz w:val="18"/>
        </w:rPr>
        <w:t xml:space="preserve"> «Об акционерных обществах», Федерального закона </w:t>
      </w:r>
      <w:r>
        <w:rPr>
          <w:color w:val="000000"/>
          <w:sz w:val="18"/>
        </w:rPr>
        <w:t>№ 39-ФЗ от 22.04.1996 г.</w:t>
      </w:r>
      <w:r>
        <w:rPr>
          <w:sz w:val="18"/>
        </w:rPr>
        <w:t xml:space="preserve"> «О рынке ценных бумаг», иных нормативных правовых актов Российской Федерации, в том числе нормативных актов Банка России, а также в соответствии с документами о выпуске (выдаче) указанных ценных бумаг, решениями о выпуске (дополнительном выпуске), проспектами ценных бумаг.</w:t>
      </w:r>
    </w:p>
    <w:p w14:paraId="41B6B644" w14:textId="77777777" w:rsidR="00940150" w:rsidRDefault="00940150" w:rsidP="00940150">
      <w:pPr>
        <w:pStyle w:val="21"/>
        <w:numPr>
          <w:ilvl w:val="2"/>
          <w:numId w:val="2"/>
        </w:numPr>
        <w:shd w:val="clear" w:color="auto" w:fill="auto"/>
        <w:spacing w:before="0" w:line="235" w:lineRule="exact"/>
        <w:ind w:firstLine="0"/>
        <w:jc w:val="both"/>
        <w:rPr>
          <w:sz w:val="18"/>
        </w:rPr>
      </w:pPr>
      <w:r>
        <w:rPr>
          <w:sz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Доверительного управляющего с учетом специфики его деятельности и практики делового оборота.</w:t>
      </w:r>
    </w:p>
    <w:p w14:paraId="197B1AE8" w14:textId="77777777" w:rsidR="00940150" w:rsidRDefault="00940150" w:rsidP="00940150">
      <w:pPr>
        <w:pStyle w:val="21"/>
        <w:numPr>
          <w:ilvl w:val="2"/>
          <w:numId w:val="2"/>
        </w:numPr>
        <w:shd w:val="clear" w:color="auto" w:fill="auto"/>
        <w:spacing w:before="0" w:after="0" w:line="235" w:lineRule="exact"/>
        <w:ind w:firstLine="0"/>
        <w:jc w:val="both"/>
        <w:rPr>
          <w:sz w:val="18"/>
        </w:rPr>
      </w:pPr>
      <w:r>
        <w:rPr>
          <w:sz w:val="18"/>
        </w:rPr>
        <w:t>Законные права и интересы Учредителя управления ставятся выше интересов Доверительного управляющего, заинтересованности его должностных лиц и Сотрудников в получении материальной и (или) личной выгоды.</w:t>
      </w:r>
    </w:p>
    <w:p w14:paraId="22C405B5" w14:textId="77777777" w:rsidR="00940150" w:rsidRDefault="00940150" w:rsidP="00940150">
      <w:pPr>
        <w:pStyle w:val="21"/>
        <w:shd w:val="clear" w:color="auto" w:fill="auto"/>
        <w:spacing w:before="0" w:after="0" w:line="235" w:lineRule="exact"/>
        <w:ind w:firstLine="0"/>
        <w:jc w:val="both"/>
        <w:rPr>
          <w:sz w:val="18"/>
        </w:rPr>
      </w:pPr>
    </w:p>
    <w:p w14:paraId="551BB8E9" w14:textId="77777777" w:rsidR="00940150" w:rsidRDefault="00940150" w:rsidP="00940150">
      <w:pPr>
        <w:pStyle w:val="21"/>
        <w:numPr>
          <w:ilvl w:val="2"/>
          <w:numId w:val="2"/>
        </w:numPr>
        <w:shd w:val="clear" w:color="auto" w:fill="auto"/>
        <w:spacing w:before="0" w:after="0" w:line="240" w:lineRule="auto"/>
        <w:ind w:firstLine="0"/>
        <w:jc w:val="both"/>
        <w:rPr>
          <w:sz w:val="18"/>
        </w:rPr>
      </w:pPr>
      <w:r>
        <w:rPr>
          <w:sz w:val="18"/>
        </w:rPr>
        <w:t>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управляющего над интересами других Учредителей управления.</w:t>
      </w:r>
    </w:p>
    <w:p w14:paraId="2391996A" w14:textId="77777777" w:rsidR="00940150" w:rsidRDefault="00940150" w:rsidP="00940150">
      <w:pPr>
        <w:pStyle w:val="a3"/>
        <w:spacing w:after="0" w:line="240" w:lineRule="auto"/>
        <w:rPr>
          <w:sz w:val="18"/>
        </w:rPr>
      </w:pPr>
    </w:p>
    <w:p w14:paraId="23B73806" w14:textId="77777777" w:rsidR="00940150" w:rsidRDefault="00940150" w:rsidP="00940150">
      <w:pPr>
        <w:pStyle w:val="21"/>
        <w:numPr>
          <w:ilvl w:val="2"/>
          <w:numId w:val="2"/>
        </w:numPr>
        <w:shd w:val="clear" w:color="auto" w:fill="auto"/>
        <w:spacing w:before="0" w:after="0" w:line="240" w:lineRule="auto"/>
        <w:ind w:firstLine="0"/>
        <w:jc w:val="both"/>
        <w:rPr>
          <w:sz w:val="18"/>
        </w:rPr>
      </w:pPr>
      <w:r>
        <w:rPr>
          <w:sz w:val="18"/>
        </w:rPr>
        <w:t>Направленность решений на обеспечение сохранности и прироста Имущества Учредителя управления.</w:t>
      </w:r>
    </w:p>
    <w:p w14:paraId="46ED00B7" w14:textId="77777777" w:rsidR="00940150" w:rsidRDefault="00940150" w:rsidP="00940150">
      <w:pPr>
        <w:pStyle w:val="a3"/>
        <w:spacing w:after="0" w:line="240" w:lineRule="auto"/>
        <w:rPr>
          <w:sz w:val="18"/>
        </w:rPr>
      </w:pPr>
    </w:p>
    <w:p w14:paraId="0D4151B6" w14:textId="77777777" w:rsidR="00940150" w:rsidRDefault="00940150" w:rsidP="00940150">
      <w:pPr>
        <w:pStyle w:val="21"/>
        <w:numPr>
          <w:ilvl w:val="2"/>
          <w:numId w:val="2"/>
        </w:numPr>
        <w:shd w:val="clear" w:color="auto" w:fill="auto"/>
        <w:spacing w:before="0" w:after="0" w:line="240" w:lineRule="auto"/>
        <w:ind w:firstLine="0"/>
        <w:jc w:val="both"/>
        <w:rPr>
          <w:sz w:val="18"/>
        </w:rPr>
      </w:pPr>
      <w:r>
        <w:rPr>
          <w:sz w:val="18"/>
        </w:rPr>
        <w:t xml:space="preserve"> Обеспечение защиты прав и законных интересов Учредителя управления, в интересах которого действует Доверительный управляющий, а также соблюдения этических норм и практики делового оборота.</w:t>
      </w:r>
    </w:p>
    <w:p w14:paraId="1DE875CE" w14:textId="77777777" w:rsidR="00940150" w:rsidRDefault="00940150" w:rsidP="00940150">
      <w:pPr>
        <w:pStyle w:val="21"/>
        <w:shd w:val="clear" w:color="auto" w:fill="auto"/>
        <w:spacing w:before="0" w:after="0" w:line="240" w:lineRule="auto"/>
        <w:ind w:firstLine="0"/>
        <w:jc w:val="both"/>
        <w:rPr>
          <w:sz w:val="18"/>
        </w:rPr>
      </w:pPr>
    </w:p>
    <w:p w14:paraId="79FC2CA2" w14:textId="77777777" w:rsidR="00940150" w:rsidRDefault="00940150" w:rsidP="00940150">
      <w:pPr>
        <w:pStyle w:val="21"/>
        <w:numPr>
          <w:ilvl w:val="1"/>
          <w:numId w:val="2"/>
        </w:numPr>
        <w:shd w:val="clear" w:color="auto" w:fill="auto"/>
        <w:spacing w:before="0" w:after="0" w:line="240" w:lineRule="auto"/>
        <w:ind w:firstLine="0"/>
        <w:jc w:val="both"/>
        <w:rPr>
          <w:sz w:val="18"/>
        </w:rPr>
      </w:pPr>
      <w:r>
        <w:rPr>
          <w:sz w:val="18"/>
        </w:rPr>
        <w:t>Доверительный управляющий не допускает предвзятости, зависимости от третьих лиц, которые могут нанести ущерб законным правам и интересам Учредителя управления.</w:t>
      </w:r>
    </w:p>
    <w:p w14:paraId="5A494A05" w14:textId="77777777" w:rsidR="00940150" w:rsidRDefault="00940150" w:rsidP="00940150">
      <w:pPr>
        <w:pStyle w:val="21"/>
        <w:numPr>
          <w:ilvl w:val="1"/>
          <w:numId w:val="2"/>
        </w:numPr>
        <w:shd w:val="clear" w:color="auto" w:fill="auto"/>
        <w:spacing w:before="0" w:after="184" w:line="240" w:lineRule="exact"/>
        <w:ind w:firstLine="0"/>
        <w:jc w:val="both"/>
        <w:rPr>
          <w:sz w:val="18"/>
        </w:rPr>
      </w:pPr>
      <w:r>
        <w:rPr>
          <w:sz w:val="18"/>
        </w:rPr>
        <w:t>Доверительный управляющий принимает решение о выборе конкретного варианта голосования на ОСА («за», «против» или «воздержался»), руководствуясь следующими принципами:</w:t>
      </w:r>
    </w:p>
    <w:p w14:paraId="48A995BB" w14:textId="77777777" w:rsidR="00940150" w:rsidRDefault="00940150" w:rsidP="00940150">
      <w:pPr>
        <w:pStyle w:val="21"/>
        <w:numPr>
          <w:ilvl w:val="0"/>
          <w:numId w:val="5"/>
        </w:numPr>
        <w:shd w:val="clear" w:color="auto" w:fill="auto"/>
        <w:spacing w:before="0" w:after="184" w:line="240" w:lineRule="exact"/>
        <w:jc w:val="both"/>
        <w:rPr>
          <w:sz w:val="18"/>
        </w:rPr>
      </w:pPr>
      <w:r>
        <w:rPr>
          <w:sz w:val="18"/>
        </w:rPr>
        <w:t>Срок договора доверительного управления;</w:t>
      </w:r>
    </w:p>
    <w:p w14:paraId="2CE200B3" w14:textId="77777777" w:rsidR="00940150" w:rsidRDefault="00940150" w:rsidP="00940150">
      <w:pPr>
        <w:pStyle w:val="21"/>
        <w:numPr>
          <w:ilvl w:val="0"/>
          <w:numId w:val="3"/>
        </w:numPr>
        <w:shd w:val="clear" w:color="auto" w:fill="auto"/>
        <w:spacing w:before="0" w:after="184" w:line="240" w:lineRule="exact"/>
        <w:jc w:val="both"/>
        <w:rPr>
          <w:sz w:val="18"/>
        </w:rPr>
      </w:pPr>
      <w:r>
        <w:rPr>
          <w:sz w:val="18"/>
        </w:rPr>
        <w:t>Инвестиционные цели Учредителя управления;</w:t>
      </w:r>
    </w:p>
    <w:p w14:paraId="75419DBA" w14:textId="77777777" w:rsidR="00940150" w:rsidRDefault="00940150" w:rsidP="00940150">
      <w:pPr>
        <w:pStyle w:val="21"/>
        <w:numPr>
          <w:ilvl w:val="0"/>
          <w:numId w:val="3"/>
        </w:numPr>
        <w:shd w:val="clear" w:color="auto" w:fill="auto"/>
        <w:spacing w:before="0" w:after="184" w:line="240" w:lineRule="exact"/>
        <w:jc w:val="both"/>
        <w:rPr>
          <w:sz w:val="18"/>
        </w:rPr>
      </w:pPr>
      <w:r>
        <w:rPr>
          <w:sz w:val="18"/>
        </w:rPr>
        <w:t>Инвестиционный профиль Учредителя управления;</w:t>
      </w:r>
    </w:p>
    <w:p w14:paraId="714CEC71" w14:textId="77777777" w:rsidR="00940150" w:rsidRDefault="00940150" w:rsidP="00940150">
      <w:pPr>
        <w:pStyle w:val="21"/>
        <w:numPr>
          <w:ilvl w:val="0"/>
          <w:numId w:val="3"/>
        </w:numPr>
        <w:shd w:val="clear" w:color="auto" w:fill="auto"/>
        <w:spacing w:before="0" w:after="184" w:line="240" w:lineRule="exact"/>
        <w:jc w:val="both"/>
        <w:rPr>
          <w:sz w:val="18"/>
        </w:rPr>
      </w:pPr>
      <w:r>
        <w:rPr>
          <w:sz w:val="18"/>
        </w:rPr>
        <w:t>Соотношение голосов по ценным бумагам, принадлежащим Учредителю управления, к общему количеству голосов по вопросу, вынесенному на голосование.</w:t>
      </w:r>
    </w:p>
    <w:p w14:paraId="2F179F44" w14:textId="77777777" w:rsidR="00940150" w:rsidRDefault="00940150" w:rsidP="00940150">
      <w:pPr>
        <w:pStyle w:val="21"/>
        <w:numPr>
          <w:ilvl w:val="1"/>
          <w:numId w:val="4"/>
        </w:numPr>
        <w:shd w:val="clear" w:color="auto" w:fill="auto"/>
        <w:spacing w:before="0" w:after="232" w:line="235" w:lineRule="exact"/>
        <w:ind w:left="0" w:firstLine="0"/>
        <w:jc w:val="both"/>
        <w:rPr>
          <w:sz w:val="18"/>
        </w:rPr>
      </w:pPr>
      <w:r>
        <w:rPr>
          <w:sz w:val="18"/>
        </w:rPr>
        <w:t>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соответственно, на стоимость ее акций в будущем, возможность выкупа акций на выгодных для цели инвестирования условиях и иные факторы.</w:t>
      </w:r>
    </w:p>
    <w:p w14:paraId="3845C30E" w14:textId="77777777" w:rsidR="00940150" w:rsidRDefault="00940150" w:rsidP="00940150">
      <w:pPr>
        <w:pStyle w:val="21"/>
        <w:numPr>
          <w:ilvl w:val="1"/>
          <w:numId w:val="4"/>
        </w:numPr>
        <w:shd w:val="clear" w:color="auto" w:fill="auto"/>
        <w:spacing w:before="0" w:after="232" w:line="235" w:lineRule="exact"/>
        <w:ind w:left="0" w:firstLine="0"/>
        <w:jc w:val="both"/>
        <w:rPr>
          <w:sz w:val="18"/>
        </w:rPr>
      </w:pPr>
      <w:r>
        <w:rPr>
          <w:sz w:val="18"/>
        </w:rPr>
        <w:t xml:space="preserve">Доверительный управляющий принимает решение о предъявлении требования о досрочном погашении ценных бумаг (в том числе облигаций и инвестиционных паев паевых инвестиционных фондов), выкупе ценных бумаг, их конвертации, а также об осуществлении или об отказе от осуществления иных прав по ценным бумагам, руководствуясь принципом разумности и добросовестности, в том числе с учетом следующего: </w:t>
      </w:r>
    </w:p>
    <w:p w14:paraId="6758B145" w14:textId="77777777" w:rsidR="00940150" w:rsidRDefault="00940150" w:rsidP="00940150">
      <w:pPr>
        <w:pStyle w:val="21"/>
        <w:shd w:val="clear" w:color="auto" w:fill="auto"/>
        <w:spacing w:before="0" w:after="232" w:line="235" w:lineRule="exact"/>
        <w:ind w:firstLine="0"/>
        <w:jc w:val="both"/>
        <w:rPr>
          <w:sz w:val="18"/>
        </w:rPr>
      </w:pPr>
      <w:r>
        <w:rPr>
          <w:rFonts w:ascii="Symbol" w:hAnsi="Symbol"/>
          <w:sz w:val="18"/>
        </w:rPr>
        <w:t></w:t>
      </w:r>
      <w:r>
        <w:rPr>
          <w:sz w:val="18"/>
        </w:rPr>
        <w:t xml:space="preserve"> Срока договора доверительного управления;</w:t>
      </w:r>
    </w:p>
    <w:p w14:paraId="5095A551" w14:textId="77777777" w:rsidR="00940150" w:rsidRDefault="00940150" w:rsidP="00940150">
      <w:pPr>
        <w:pStyle w:val="21"/>
        <w:shd w:val="clear" w:color="auto" w:fill="auto"/>
        <w:spacing w:before="0" w:after="232" w:line="235" w:lineRule="exact"/>
        <w:ind w:firstLine="0"/>
        <w:jc w:val="both"/>
        <w:rPr>
          <w:sz w:val="18"/>
        </w:rPr>
      </w:pPr>
      <w:r>
        <w:rPr>
          <w:sz w:val="18"/>
        </w:rPr>
        <w:t xml:space="preserve"> </w:t>
      </w:r>
      <w:r>
        <w:rPr>
          <w:rFonts w:ascii="Symbol" w:hAnsi="Symbol"/>
          <w:sz w:val="18"/>
        </w:rPr>
        <w:t></w:t>
      </w:r>
      <w:r>
        <w:rPr>
          <w:sz w:val="18"/>
        </w:rPr>
        <w:t xml:space="preserve"> Инвестиционных целей Учредителей управления; </w:t>
      </w:r>
    </w:p>
    <w:p w14:paraId="17F3FAEE" w14:textId="77777777" w:rsidR="00940150" w:rsidRDefault="00940150" w:rsidP="00940150">
      <w:pPr>
        <w:pStyle w:val="21"/>
        <w:shd w:val="clear" w:color="auto" w:fill="auto"/>
        <w:spacing w:before="0" w:after="232" w:line="235" w:lineRule="exact"/>
        <w:ind w:firstLine="0"/>
        <w:jc w:val="both"/>
        <w:rPr>
          <w:sz w:val="18"/>
        </w:rPr>
      </w:pPr>
      <w:r>
        <w:rPr>
          <w:rFonts w:ascii="Symbol" w:hAnsi="Symbol"/>
          <w:sz w:val="18"/>
        </w:rPr>
        <w:lastRenderedPageBreak/>
        <w:t></w:t>
      </w:r>
      <w:r>
        <w:rPr>
          <w:sz w:val="18"/>
        </w:rPr>
        <w:t xml:space="preserve"> Оставшегося срока до погашения ценной бумаги (если такой срок предусмотрен условиями выпуска ценной бумаги); </w:t>
      </w:r>
    </w:p>
    <w:p w14:paraId="05EE4286" w14:textId="77777777" w:rsidR="00940150" w:rsidRDefault="00940150" w:rsidP="00940150">
      <w:pPr>
        <w:pStyle w:val="21"/>
        <w:shd w:val="clear" w:color="auto" w:fill="auto"/>
        <w:spacing w:before="0" w:after="232" w:line="235" w:lineRule="exact"/>
        <w:ind w:firstLine="0"/>
        <w:jc w:val="both"/>
        <w:rPr>
          <w:sz w:val="18"/>
        </w:rPr>
      </w:pPr>
      <w:r>
        <w:rPr>
          <w:rFonts w:ascii="Symbol" w:hAnsi="Symbol"/>
          <w:sz w:val="18"/>
        </w:rPr>
        <w:t></w:t>
      </w:r>
      <w:r>
        <w:rPr>
          <w:sz w:val="18"/>
        </w:rPr>
        <w:t xml:space="preserve"> Финансового состояния эмитента (лица, обязанного по ценной бумаге) и другими факторами.</w:t>
      </w:r>
    </w:p>
    <w:p w14:paraId="207ABBCA" w14:textId="77777777" w:rsidR="00940150" w:rsidRDefault="00940150" w:rsidP="00940150">
      <w:pPr>
        <w:pStyle w:val="21"/>
        <w:numPr>
          <w:ilvl w:val="1"/>
          <w:numId w:val="4"/>
        </w:numPr>
        <w:shd w:val="clear" w:color="auto" w:fill="auto"/>
        <w:spacing w:before="0" w:after="232" w:line="235" w:lineRule="exact"/>
        <w:ind w:left="0" w:firstLine="0"/>
        <w:jc w:val="both"/>
        <w:rPr>
          <w:sz w:val="18"/>
        </w:rPr>
      </w:pPr>
      <w:r>
        <w:rPr>
          <w:sz w:val="18"/>
        </w:rPr>
        <w:t>В случае неисполнения или ненадлежащего исполнения эмитентом (лицом, обязанным по ценной бумаге) своих обязательств по ценным бумагам Доверительный управляющий принимает меры по защите прав, предоставляемых соответствующими ценными бумагами, в том числе через третьих лиц (представителя владельцев облигаций, профессиональных консультантов и т.д.).</w:t>
      </w:r>
    </w:p>
    <w:p w14:paraId="1F82F533" w14:textId="77777777" w:rsidR="00940150" w:rsidRDefault="00940150" w:rsidP="00940150">
      <w:pPr>
        <w:pStyle w:val="3"/>
        <w:numPr>
          <w:ilvl w:val="0"/>
          <w:numId w:val="4"/>
        </w:numPr>
        <w:shd w:val="clear" w:color="auto" w:fill="auto"/>
        <w:spacing w:before="0" w:after="115" w:line="170" w:lineRule="exact"/>
        <w:rPr>
          <w:sz w:val="18"/>
        </w:rPr>
      </w:pPr>
      <w:bookmarkStart w:id="4" w:name="bookmark71"/>
      <w:r>
        <w:rPr>
          <w:sz w:val="18"/>
        </w:rPr>
        <w:t>Заключительные положения</w:t>
      </w:r>
      <w:bookmarkEnd w:id="4"/>
    </w:p>
    <w:p w14:paraId="7E055D92" w14:textId="77777777" w:rsidR="00940150" w:rsidRDefault="00940150" w:rsidP="00940150">
      <w:pPr>
        <w:pStyle w:val="21"/>
        <w:shd w:val="clear" w:color="auto" w:fill="auto"/>
        <w:spacing w:before="0" w:after="0"/>
        <w:ind w:firstLine="0"/>
        <w:jc w:val="both"/>
        <w:rPr>
          <w:sz w:val="18"/>
        </w:rPr>
      </w:pPr>
      <w:r>
        <w:rPr>
          <w:sz w:val="18"/>
        </w:rPr>
        <w:t xml:space="preserve">Доверительный управляющий раскрывает «Политику осуществления прав по Ценным бумагам Доверительным управляющим» в составе настоящих Условий на официальном сайте АО Банк «Объединенный капитал» в сети Интернет по адресу: </w:t>
      </w:r>
      <w:hyperlink r:id="rId5" w:history="1">
        <w:r>
          <w:rPr>
            <w:rStyle w:val="a4"/>
            <w:sz w:val="18"/>
          </w:rPr>
          <w:t>www.okbank.ru</w:t>
        </w:r>
      </w:hyperlink>
      <w:r>
        <w:rPr>
          <w:sz w:val="18"/>
        </w:rPr>
        <w:t>. , а также изменения и дополнения в неё, в сроки и порядке установленные настоящими Условиями.</w:t>
      </w:r>
    </w:p>
    <w:p w14:paraId="31869554" w14:textId="77777777" w:rsidR="00BB4DAC" w:rsidRDefault="00BB4DAC"/>
    <w:sectPr w:rsidR="00BB4DAC" w:rsidSect="00771AB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E78"/>
    <w:multiLevelType w:val="multilevel"/>
    <w:tmpl w:val="631A43C8"/>
    <w:lvl w:ilvl="0">
      <w:start w:val="2"/>
      <w:numFmt w:val="decimal"/>
      <w:lvlText w:val="%1."/>
      <w:lvlJc w:val="left"/>
      <w:pPr>
        <w:ind w:left="360" w:hanging="360"/>
      </w:pPr>
    </w:lvl>
    <w:lvl w:ilvl="1">
      <w:start w:val="7"/>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AD5456F"/>
    <w:multiLevelType w:val="hybridMultilevel"/>
    <w:tmpl w:val="E15640D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32AC2E72"/>
    <w:multiLevelType w:val="hybridMultilevel"/>
    <w:tmpl w:val="FCC8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4169CF"/>
    <w:multiLevelType w:val="multilevel"/>
    <w:tmpl w:val="0840E192"/>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1.%2.%3."/>
      <w:lvlJc w:val="left"/>
      <w:rPr>
        <w:rFonts w:ascii="Verdana" w:hAnsi="Verdana"/>
        <w:b/>
        <w:i w:val="0"/>
        <w:strike w:val="0"/>
        <w:color w:val="000000"/>
        <w:sz w:val="17"/>
        <w:u w:val="none"/>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7C853B4E"/>
    <w:multiLevelType w:val="hybridMultilevel"/>
    <w:tmpl w:val="0590AF3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50"/>
    <w:rsid w:val="00771ABA"/>
    <w:rsid w:val="00940150"/>
    <w:rsid w:val="00B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20B3"/>
  <w15:chartTrackingRefBased/>
  <w15:docId w15:val="{1CE62F23-0AED-42A0-B43B-BB38720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rsid w:val="00940150"/>
    <w:pPr>
      <w:widowControl w:val="0"/>
      <w:shd w:val="clear" w:color="auto" w:fill="FFFFFF"/>
      <w:spacing w:after="60" w:line="240" w:lineRule="atLeast"/>
      <w:jc w:val="both"/>
      <w:outlineLvl w:val="1"/>
    </w:pPr>
    <w:rPr>
      <w:rFonts w:ascii="Verdana" w:eastAsia="Times New Roman" w:hAnsi="Verdana" w:cs="Times New Roman"/>
      <w:szCs w:val="20"/>
      <w:lang w:eastAsia="ru-RU"/>
    </w:rPr>
  </w:style>
  <w:style w:type="paragraph" w:customStyle="1" w:styleId="21">
    <w:name w:val="Основной текст (2)"/>
    <w:basedOn w:val="a"/>
    <w:link w:val="22"/>
    <w:rsid w:val="00940150"/>
    <w:pPr>
      <w:widowControl w:val="0"/>
      <w:shd w:val="clear" w:color="auto" w:fill="FFFFFF"/>
      <w:spacing w:before="300" w:after="180" w:line="206" w:lineRule="exact"/>
      <w:ind w:hanging="460"/>
    </w:pPr>
    <w:rPr>
      <w:rFonts w:ascii="Verdana" w:eastAsia="Times New Roman" w:hAnsi="Verdana" w:cs="Times New Roman"/>
      <w:sz w:val="17"/>
      <w:szCs w:val="20"/>
      <w:lang w:eastAsia="ru-RU"/>
    </w:rPr>
  </w:style>
  <w:style w:type="paragraph" w:customStyle="1" w:styleId="3">
    <w:name w:val="Заголовок №3"/>
    <w:basedOn w:val="a"/>
    <w:link w:val="30"/>
    <w:uiPriority w:val="99"/>
    <w:rsid w:val="00940150"/>
    <w:pPr>
      <w:widowControl w:val="0"/>
      <w:shd w:val="clear" w:color="auto" w:fill="FFFFFF"/>
      <w:spacing w:before="300" w:after="300" w:line="240" w:lineRule="atLeast"/>
      <w:jc w:val="both"/>
      <w:outlineLvl w:val="2"/>
    </w:pPr>
    <w:rPr>
      <w:rFonts w:ascii="Verdana" w:eastAsia="Times New Roman" w:hAnsi="Verdana" w:cs="Times New Roman"/>
      <w:b/>
      <w:sz w:val="17"/>
      <w:szCs w:val="20"/>
      <w:lang w:eastAsia="ru-RU"/>
    </w:rPr>
  </w:style>
  <w:style w:type="paragraph" w:styleId="a3">
    <w:name w:val="List Paragraph"/>
    <w:basedOn w:val="a"/>
    <w:qFormat/>
    <w:rsid w:val="00940150"/>
    <w:pPr>
      <w:ind w:left="708"/>
    </w:pPr>
    <w:rPr>
      <w:rFonts w:ascii="Calibri" w:eastAsia="Times New Roman" w:hAnsi="Calibri" w:cs="Times New Roman"/>
      <w:szCs w:val="20"/>
      <w:lang w:eastAsia="ru-RU"/>
    </w:rPr>
  </w:style>
  <w:style w:type="paragraph" w:customStyle="1" w:styleId="31">
    <w:name w:val="Колонтитул (3)"/>
    <w:basedOn w:val="a"/>
    <w:link w:val="32"/>
    <w:rsid w:val="00940150"/>
    <w:pPr>
      <w:widowControl w:val="0"/>
      <w:shd w:val="clear" w:color="auto" w:fill="FFFFFF"/>
      <w:spacing w:after="0" w:line="158" w:lineRule="exact"/>
    </w:pPr>
    <w:rPr>
      <w:rFonts w:ascii="Verdana" w:eastAsia="Times New Roman" w:hAnsi="Verdana" w:cs="Times New Roman"/>
      <w:sz w:val="13"/>
      <w:szCs w:val="20"/>
      <w:lang w:eastAsia="ru-RU"/>
    </w:rPr>
  </w:style>
  <w:style w:type="paragraph" w:customStyle="1" w:styleId="33">
    <w:name w:val="Сноска (3)"/>
    <w:basedOn w:val="a"/>
    <w:link w:val="34"/>
    <w:rsid w:val="00940150"/>
    <w:pPr>
      <w:widowControl w:val="0"/>
      <w:shd w:val="clear" w:color="auto" w:fill="FFFFFF"/>
      <w:spacing w:after="0" w:line="206" w:lineRule="exact"/>
      <w:ind w:hanging="280"/>
      <w:jc w:val="both"/>
    </w:pPr>
    <w:rPr>
      <w:rFonts w:ascii="Verdana" w:eastAsia="Times New Roman" w:hAnsi="Verdana" w:cs="Times New Roman"/>
      <w:sz w:val="17"/>
      <w:szCs w:val="20"/>
      <w:lang w:eastAsia="ru-RU"/>
    </w:rPr>
  </w:style>
  <w:style w:type="character" w:styleId="a4">
    <w:name w:val="Hyperlink"/>
    <w:basedOn w:val="a0"/>
    <w:rsid w:val="00940150"/>
    <w:rPr>
      <w:color w:val="0066CC"/>
      <w:u w:val="single"/>
    </w:rPr>
  </w:style>
  <w:style w:type="character" w:customStyle="1" w:styleId="20">
    <w:name w:val="Заголовок №2_"/>
    <w:link w:val="2"/>
    <w:rsid w:val="00940150"/>
    <w:rPr>
      <w:rFonts w:ascii="Verdana" w:eastAsia="Times New Roman" w:hAnsi="Verdana" w:cs="Times New Roman"/>
      <w:szCs w:val="20"/>
      <w:shd w:val="clear" w:color="auto" w:fill="FFFFFF"/>
      <w:lang w:eastAsia="ru-RU"/>
    </w:rPr>
  </w:style>
  <w:style w:type="character" w:customStyle="1" w:styleId="22">
    <w:name w:val="Основной текст (2)_"/>
    <w:link w:val="21"/>
    <w:rsid w:val="00940150"/>
    <w:rPr>
      <w:rFonts w:ascii="Verdana" w:eastAsia="Times New Roman" w:hAnsi="Verdana" w:cs="Times New Roman"/>
      <w:sz w:val="17"/>
      <w:szCs w:val="20"/>
      <w:shd w:val="clear" w:color="auto" w:fill="FFFFFF"/>
      <w:lang w:eastAsia="ru-RU"/>
    </w:rPr>
  </w:style>
  <w:style w:type="character" w:customStyle="1" w:styleId="30">
    <w:name w:val="Заголовок №3_"/>
    <w:link w:val="3"/>
    <w:uiPriority w:val="99"/>
    <w:rsid w:val="00940150"/>
    <w:rPr>
      <w:rFonts w:ascii="Verdana" w:eastAsia="Times New Roman" w:hAnsi="Verdana" w:cs="Times New Roman"/>
      <w:b/>
      <w:sz w:val="17"/>
      <w:szCs w:val="20"/>
      <w:shd w:val="clear" w:color="auto" w:fill="FFFFFF"/>
      <w:lang w:eastAsia="ru-RU"/>
    </w:rPr>
  </w:style>
  <w:style w:type="character" w:customStyle="1" w:styleId="32">
    <w:name w:val="Колонтитул (3)_"/>
    <w:link w:val="31"/>
    <w:rsid w:val="00940150"/>
    <w:rPr>
      <w:rFonts w:ascii="Verdana" w:eastAsia="Times New Roman" w:hAnsi="Verdana" w:cs="Times New Roman"/>
      <w:sz w:val="13"/>
      <w:szCs w:val="20"/>
      <w:shd w:val="clear" w:color="auto" w:fill="FFFFFF"/>
      <w:lang w:eastAsia="ru-RU"/>
    </w:rPr>
  </w:style>
  <w:style w:type="character" w:customStyle="1" w:styleId="34">
    <w:name w:val="Сноска (3)_"/>
    <w:link w:val="33"/>
    <w:rsid w:val="00940150"/>
    <w:rPr>
      <w:rFonts w:ascii="Verdana" w:eastAsia="Times New Roman" w:hAnsi="Verdana" w:cs="Times New Roman"/>
      <w:sz w:val="17"/>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Т.В.</dc:creator>
  <cp:keywords/>
  <dc:description/>
  <cp:lastModifiedBy>Александрова Т.В.</cp:lastModifiedBy>
  <cp:revision>1</cp:revision>
  <dcterms:created xsi:type="dcterms:W3CDTF">2022-03-22T08:49:00Z</dcterms:created>
  <dcterms:modified xsi:type="dcterms:W3CDTF">2022-03-22T08:57:00Z</dcterms:modified>
</cp:coreProperties>
</file>